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4B" w:rsidRDefault="00482D4B" w:rsidP="00AC2B8E">
      <w:pPr>
        <w:jc w:val="center"/>
        <w:rPr>
          <w:b/>
          <w:sz w:val="24"/>
        </w:rPr>
      </w:pPr>
      <w:bookmarkStart w:id="0" w:name="_GoBack"/>
      <w:bookmarkEnd w:id="0"/>
    </w:p>
    <w:p w:rsidR="00014270" w:rsidRDefault="003D054E" w:rsidP="00014270">
      <w:pPr>
        <w:jc w:val="center"/>
        <w:rPr>
          <w:b/>
          <w:sz w:val="24"/>
        </w:rPr>
      </w:pPr>
      <w:r>
        <w:rPr>
          <w:b/>
          <w:sz w:val="24"/>
        </w:rPr>
        <w:t>2019-20</w:t>
      </w:r>
      <w:r w:rsidR="00430C28">
        <w:rPr>
          <w:b/>
          <w:sz w:val="24"/>
        </w:rPr>
        <w:t xml:space="preserve"> Cost Analysis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6835"/>
      </w:tblGrid>
      <w:tr w:rsidR="00DB5D70" w:rsidRPr="00F615E6" w:rsidTr="00F615E6">
        <w:tc>
          <w:tcPr>
            <w:tcW w:w="6835" w:type="dxa"/>
            <w:shd w:val="clear" w:color="auto" w:fill="auto"/>
          </w:tcPr>
          <w:p w:rsidR="00DB5D70" w:rsidRPr="00F615E6" w:rsidRDefault="00DB5D70" w:rsidP="00DB5D70">
            <w:pPr>
              <w:rPr>
                <w:b/>
              </w:rPr>
            </w:pPr>
            <w:r w:rsidRPr="00F615E6">
              <w:rPr>
                <w:b/>
              </w:rPr>
              <w:t xml:space="preserve">Agency Name: </w:t>
            </w:r>
          </w:p>
        </w:tc>
        <w:tc>
          <w:tcPr>
            <w:tcW w:w="6835" w:type="dxa"/>
            <w:shd w:val="clear" w:color="auto" w:fill="auto"/>
          </w:tcPr>
          <w:p w:rsidR="00DB5D70" w:rsidRPr="00F615E6" w:rsidRDefault="00DB5D70" w:rsidP="006F2728">
            <w:pPr>
              <w:rPr>
                <w:b/>
              </w:rPr>
            </w:pPr>
            <w:r w:rsidRPr="00F615E6">
              <w:rPr>
                <w:b/>
              </w:rPr>
              <w:t xml:space="preserve">Project </w:t>
            </w:r>
            <w:r w:rsidR="006F2728" w:rsidRPr="00F615E6">
              <w:rPr>
                <w:b/>
              </w:rPr>
              <w:t>Name</w:t>
            </w:r>
            <w:r w:rsidRPr="00F615E6">
              <w:rPr>
                <w:b/>
              </w:rPr>
              <w:t xml:space="preserve">: </w:t>
            </w:r>
          </w:p>
        </w:tc>
      </w:tr>
    </w:tbl>
    <w:p w:rsidR="009361E7" w:rsidRPr="00DB5D70" w:rsidRDefault="009361E7" w:rsidP="00AC2B8E">
      <w:pPr>
        <w:jc w:val="center"/>
        <w:rPr>
          <w:b/>
        </w:rPr>
      </w:pPr>
    </w:p>
    <w:p w:rsidR="00430C28" w:rsidRPr="007F13E5" w:rsidRDefault="00430C28" w:rsidP="00430C28">
      <w:r w:rsidRPr="007F13E5">
        <w:t xml:space="preserve">Per the </w:t>
      </w:r>
      <w:r w:rsidR="003D054E">
        <w:t>2019-20</w:t>
      </w:r>
      <w:r w:rsidRPr="007F13E5">
        <w:t xml:space="preserve"> Request for Proposals, applicants must maintain a cost analysis for all expenditures that ensures each cost is allowable, reasonable and necessary as required by Section 216.3475, F.S. A cost analysis must be included in the application as an attachment for the following cost items:</w:t>
      </w:r>
    </w:p>
    <w:p w:rsidR="00430C28" w:rsidRPr="007F13E5" w:rsidRDefault="00430C28" w:rsidP="007F13E5">
      <w:pPr>
        <w:ind w:left="1440" w:hanging="720"/>
      </w:pPr>
      <w:r w:rsidRPr="007F13E5">
        <w:t>•</w:t>
      </w:r>
      <w:r w:rsidRPr="007F13E5">
        <w:tab/>
        <w:t>salaries of the agency leadership positions if any portion of that salary is included in the program budget.</w:t>
      </w:r>
    </w:p>
    <w:p w:rsidR="00430C28" w:rsidRPr="007F13E5" w:rsidRDefault="00430C28" w:rsidP="007F13E5">
      <w:pPr>
        <w:ind w:left="720"/>
      </w:pPr>
      <w:r w:rsidRPr="007F13E5">
        <w:t>•</w:t>
      </w:r>
      <w:r w:rsidRPr="007F13E5">
        <w:tab/>
        <w:t>equipment with a unit cost of $1,000 or more</w:t>
      </w:r>
    </w:p>
    <w:p w:rsidR="00430C28" w:rsidRDefault="00430C28" w:rsidP="007F13E5">
      <w:pPr>
        <w:ind w:left="720"/>
      </w:pPr>
      <w:r w:rsidRPr="007F13E5">
        <w:t>•</w:t>
      </w:r>
      <w:r w:rsidRPr="007F13E5">
        <w:tab/>
        <w:t>contractors with an agreement totaling $5,000 or more on an annual basis.</w:t>
      </w:r>
    </w:p>
    <w:p w:rsidR="00C30FB4" w:rsidRPr="007F13E5" w:rsidRDefault="00C30FB4" w:rsidP="007F13E5">
      <w:pPr>
        <w:ind w:left="720"/>
      </w:pPr>
    </w:p>
    <w:p w:rsidR="00430C28" w:rsidRDefault="00C30FB4" w:rsidP="00430C28">
      <w:r w:rsidRPr="00C30FB4">
        <w:rPr>
          <w:u w:val="single"/>
        </w:rPr>
        <w:t>Instructions</w:t>
      </w:r>
      <w:r>
        <w:t xml:space="preserve">: </w:t>
      </w:r>
      <w:r w:rsidR="00430C28" w:rsidRPr="00C30FB4">
        <w:rPr>
          <w:i/>
        </w:rPr>
        <w:t>Please conduct a cost analysis for each</w:t>
      </w:r>
      <w:r w:rsidR="00D008AB" w:rsidRPr="00C30FB4">
        <w:rPr>
          <w:i/>
        </w:rPr>
        <w:t xml:space="preserve"> applicable</w:t>
      </w:r>
      <w:r w:rsidR="00430C28" w:rsidRPr="00C30FB4">
        <w:rPr>
          <w:i/>
        </w:rPr>
        <w:t xml:space="preserve"> line item in your budget outlined in the DOE 101S that fits the categories above. For each expenditure, please list the vendor or name of each applicable line item, </w:t>
      </w:r>
      <w:r w:rsidR="00D008AB" w:rsidRPr="00C30FB4">
        <w:rPr>
          <w:i/>
        </w:rPr>
        <w:t>the vendor or source of the quote, the actual quoted amount, your agency’s selection, your rationale for selection and, if applicable, whether the vendor has been suspended or debarred.</w:t>
      </w:r>
      <w:r>
        <w:rPr>
          <w:i/>
        </w:rPr>
        <w:t xml:space="preserve"> Please attach supporting documentation for each line item.</w:t>
      </w:r>
    </w:p>
    <w:p w:rsidR="007F13E5" w:rsidRPr="007F13E5" w:rsidRDefault="007F13E5" w:rsidP="00430C28"/>
    <w:tbl>
      <w:tblPr>
        <w:tblW w:w="144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440"/>
        <w:gridCol w:w="1080"/>
        <w:gridCol w:w="1530"/>
        <w:gridCol w:w="1080"/>
        <w:gridCol w:w="1350"/>
        <w:gridCol w:w="1080"/>
        <w:gridCol w:w="1260"/>
        <w:gridCol w:w="1800"/>
        <w:gridCol w:w="1530"/>
      </w:tblGrid>
      <w:tr w:rsidR="00482D4B" w:rsidRPr="00F615E6" w:rsidTr="00F615E6">
        <w:tc>
          <w:tcPr>
            <w:tcW w:w="2250" w:type="dxa"/>
            <w:shd w:val="clear" w:color="auto" w:fill="D6E3BC"/>
          </w:tcPr>
          <w:p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Account Title from DOE 101</w:t>
            </w:r>
            <w:r w:rsidR="00C30FB4" w:rsidRPr="00F615E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440" w:type="dxa"/>
            <w:shd w:val="clear" w:color="auto" w:fill="D6E3BC"/>
          </w:tcPr>
          <w:p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Vendor or Source Name #1</w:t>
            </w:r>
          </w:p>
        </w:tc>
        <w:tc>
          <w:tcPr>
            <w:tcW w:w="1080" w:type="dxa"/>
            <w:shd w:val="clear" w:color="auto" w:fill="D6E3BC"/>
          </w:tcPr>
          <w:p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Amount of Quote #1</w:t>
            </w:r>
          </w:p>
        </w:tc>
        <w:tc>
          <w:tcPr>
            <w:tcW w:w="1530" w:type="dxa"/>
            <w:shd w:val="clear" w:color="auto" w:fill="D6E3BC"/>
          </w:tcPr>
          <w:p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Vendor or Source Name #2</w:t>
            </w:r>
          </w:p>
        </w:tc>
        <w:tc>
          <w:tcPr>
            <w:tcW w:w="1080" w:type="dxa"/>
            <w:shd w:val="clear" w:color="auto" w:fill="D6E3BC"/>
          </w:tcPr>
          <w:p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Amount of Quote #2</w:t>
            </w:r>
          </w:p>
        </w:tc>
        <w:tc>
          <w:tcPr>
            <w:tcW w:w="1350" w:type="dxa"/>
            <w:shd w:val="clear" w:color="auto" w:fill="D6E3BC"/>
          </w:tcPr>
          <w:p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Vendor or Source Name #3</w:t>
            </w:r>
          </w:p>
        </w:tc>
        <w:tc>
          <w:tcPr>
            <w:tcW w:w="1080" w:type="dxa"/>
            <w:shd w:val="clear" w:color="auto" w:fill="D6E3BC"/>
          </w:tcPr>
          <w:p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Amount of Quote #3</w:t>
            </w:r>
          </w:p>
        </w:tc>
        <w:tc>
          <w:tcPr>
            <w:tcW w:w="1260" w:type="dxa"/>
            <w:shd w:val="clear" w:color="auto" w:fill="D6E3BC"/>
          </w:tcPr>
          <w:p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Which vendor or amount did you select?</w:t>
            </w:r>
          </w:p>
        </w:tc>
        <w:tc>
          <w:tcPr>
            <w:tcW w:w="1800" w:type="dxa"/>
            <w:shd w:val="clear" w:color="auto" w:fill="D6E3BC"/>
          </w:tcPr>
          <w:p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>Why did you select this vendor or amount?</w:t>
            </w:r>
          </w:p>
        </w:tc>
        <w:tc>
          <w:tcPr>
            <w:tcW w:w="1530" w:type="dxa"/>
            <w:shd w:val="clear" w:color="auto" w:fill="D6E3BC"/>
          </w:tcPr>
          <w:p w:rsidR="00482D4B" w:rsidRPr="00F615E6" w:rsidRDefault="00482D4B" w:rsidP="00F615E6">
            <w:pPr>
              <w:jc w:val="center"/>
              <w:rPr>
                <w:b/>
                <w:sz w:val="20"/>
                <w:szCs w:val="20"/>
              </w:rPr>
            </w:pPr>
            <w:r w:rsidRPr="00F615E6">
              <w:rPr>
                <w:b/>
                <w:sz w:val="20"/>
                <w:szCs w:val="20"/>
              </w:rPr>
              <w:t xml:space="preserve">According to </w:t>
            </w:r>
            <w:r w:rsidR="00245333" w:rsidRPr="00F615E6">
              <w:rPr>
                <w:b/>
                <w:sz w:val="20"/>
                <w:szCs w:val="20"/>
              </w:rPr>
              <w:t>SAM.gov</w:t>
            </w:r>
            <w:r w:rsidRPr="00F615E6">
              <w:rPr>
                <w:b/>
                <w:sz w:val="20"/>
                <w:szCs w:val="20"/>
              </w:rPr>
              <w:t>, has this vendor been suspended or debarred?</w:t>
            </w:r>
          </w:p>
        </w:tc>
      </w:tr>
      <w:tr w:rsidR="00C30FB4" w:rsidRPr="00F615E6" w:rsidTr="00F615E6">
        <w:tc>
          <w:tcPr>
            <w:tcW w:w="2250" w:type="dxa"/>
            <w:shd w:val="clear" w:color="auto" w:fill="auto"/>
          </w:tcPr>
          <w:p w:rsidR="00482D4B" w:rsidRPr="00F615E6" w:rsidRDefault="00C30FB4" w:rsidP="00482D4B">
            <w:pPr>
              <w:rPr>
                <w:i/>
                <w:sz w:val="18"/>
                <w:szCs w:val="18"/>
              </w:rPr>
            </w:pPr>
            <w:r w:rsidRPr="00F615E6">
              <w:rPr>
                <w:i/>
                <w:sz w:val="18"/>
                <w:szCs w:val="18"/>
              </w:rPr>
              <w:t>STEM Curriculum</w:t>
            </w:r>
          </w:p>
        </w:tc>
        <w:tc>
          <w:tcPr>
            <w:tcW w:w="1440" w:type="dxa"/>
            <w:shd w:val="clear" w:color="auto" w:fill="auto"/>
          </w:tcPr>
          <w:p w:rsidR="00482D4B" w:rsidRPr="00F615E6" w:rsidRDefault="00C30FB4" w:rsidP="00482D4B">
            <w:pPr>
              <w:rPr>
                <w:i/>
                <w:sz w:val="18"/>
                <w:szCs w:val="18"/>
              </w:rPr>
            </w:pPr>
            <w:r w:rsidRPr="00F615E6">
              <w:rPr>
                <w:i/>
                <w:sz w:val="18"/>
                <w:szCs w:val="18"/>
              </w:rPr>
              <w:t xml:space="preserve">ABC Curriculum, Inc. </w:t>
            </w:r>
          </w:p>
        </w:tc>
        <w:tc>
          <w:tcPr>
            <w:tcW w:w="1080" w:type="dxa"/>
            <w:shd w:val="clear" w:color="auto" w:fill="auto"/>
          </w:tcPr>
          <w:p w:rsidR="00482D4B" w:rsidRPr="00F615E6" w:rsidRDefault="00C30FB4" w:rsidP="00482D4B">
            <w:pPr>
              <w:rPr>
                <w:i/>
                <w:sz w:val="18"/>
                <w:szCs w:val="18"/>
              </w:rPr>
            </w:pPr>
            <w:r w:rsidRPr="00F615E6">
              <w:rPr>
                <w:i/>
                <w:sz w:val="18"/>
                <w:szCs w:val="18"/>
              </w:rPr>
              <w:t>$5,000</w:t>
            </w:r>
          </w:p>
        </w:tc>
        <w:tc>
          <w:tcPr>
            <w:tcW w:w="1530" w:type="dxa"/>
            <w:shd w:val="clear" w:color="auto" w:fill="auto"/>
          </w:tcPr>
          <w:p w:rsidR="00482D4B" w:rsidRPr="00F615E6" w:rsidRDefault="00C30FB4" w:rsidP="00482D4B">
            <w:pPr>
              <w:rPr>
                <w:i/>
                <w:sz w:val="18"/>
                <w:szCs w:val="18"/>
              </w:rPr>
            </w:pPr>
            <w:r w:rsidRPr="00F615E6">
              <w:rPr>
                <w:i/>
                <w:sz w:val="18"/>
                <w:szCs w:val="18"/>
              </w:rPr>
              <w:t>DEF Curriculum, Inc.</w:t>
            </w:r>
          </w:p>
        </w:tc>
        <w:tc>
          <w:tcPr>
            <w:tcW w:w="1080" w:type="dxa"/>
            <w:shd w:val="clear" w:color="auto" w:fill="auto"/>
          </w:tcPr>
          <w:p w:rsidR="00482D4B" w:rsidRPr="00F615E6" w:rsidRDefault="00C30FB4" w:rsidP="00482D4B">
            <w:pPr>
              <w:rPr>
                <w:i/>
                <w:sz w:val="18"/>
                <w:szCs w:val="18"/>
              </w:rPr>
            </w:pPr>
            <w:r w:rsidRPr="00F615E6">
              <w:rPr>
                <w:i/>
                <w:sz w:val="18"/>
                <w:szCs w:val="18"/>
              </w:rPr>
              <w:t>$10,000</w:t>
            </w:r>
          </w:p>
        </w:tc>
        <w:tc>
          <w:tcPr>
            <w:tcW w:w="1350" w:type="dxa"/>
            <w:shd w:val="clear" w:color="auto" w:fill="auto"/>
          </w:tcPr>
          <w:p w:rsidR="00482D4B" w:rsidRPr="00F615E6" w:rsidRDefault="00C30FB4" w:rsidP="00482D4B">
            <w:pPr>
              <w:rPr>
                <w:i/>
                <w:sz w:val="18"/>
                <w:szCs w:val="18"/>
              </w:rPr>
            </w:pPr>
            <w:r w:rsidRPr="00F615E6">
              <w:rPr>
                <w:i/>
                <w:sz w:val="18"/>
                <w:szCs w:val="18"/>
              </w:rPr>
              <w:t>GHI Curriculum, Inc.</w:t>
            </w:r>
          </w:p>
        </w:tc>
        <w:tc>
          <w:tcPr>
            <w:tcW w:w="1080" w:type="dxa"/>
            <w:shd w:val="clear" w:color="auto" w:fill="auto"/>
          </w:tcPr>
          <w:p w:rsidR="00482D4B" w:rsidRPr="00F615E6" w:rsidRDefault="00C30FB4" w:rsidP="00482D4B">
            <w:pPr>
              <w:rPr>
                <w:i/>
                <w:sz w:val="18"/>
                <w:szCs w:val="18"/>
              </w:rPr>
            </w:pPr>
            <w:r w:rsidRPr="00F615E6">
              <w:rPr>
                <w:i/>
                <w:sz w:val="18"/>
                <w:szCs w:val="18"/>
              </w:rPr>
              <w:t>$8,000</w:t>
            </w:r>
          </w:p>
        </w:tc>
        <w:tc>
          <w:tcPr>
            <w:tcW w:w="1260" w:type="dxa"/>
            <w:shd w:val="clear" w:color="auto" w:fill="auto"/>
          </w:tcPr>
          <w:p w:rsidR="00482D4B" w:rsidRPr="00F615E6" w:rsidRDefault="00C30FB4" w:rsidP="00C30FB4">
            <w:pPr>
              <w:rPr>
                <w:i/>
                <w:sz w:val="18"/>
                <w:szCs w:val="18"/>
              </w:rPr>
            </w:pPr>
            <w:r w:rsidRPr="00F615E6">
              <w:rPr>
                <w:i/>
                <w:sz w:val="18"/>
                <w:szCs w:val="18"/>
              </w:rPr>
              <w:t>GHI Curriculum, Inc.</w:t>
            </w:r>
          </w:p>
        </w:tc>
        <w:tc>
          <w:tcPr>
            <w:tcW w:w="1800" w:type="dxa"/>
            <w:shd w:val="clear" w:color="auto" w:fill="auto"/>
          </w:tcPr>
          <w:p w:rsidR="00482D4B" w:rsidRPr="00F615E6" w:rsidRDefault="00C30FB4" w:rsidP="00F615E6">
            <w:pPr>
              <w:jc w:val="center"/>
              <w:rPr>
                <w:i/>
                <w:sz w:val="18"/>
                <w:szCs w:val="18"/>
              </w:rPr>
            </w:pPr>
            <w:r w:rsidRPr="00F615E6">
              <w:rPr>
                <w:i/>
                <w:sz w:val="18"/>
                <w:szCs w:val="18"/>
              </w:rPr>
              <w:t>GHI Curriculum offered the best balance of quality of materials and comprehensiveness of lesson plans while remaining within our price range.</w:t>
            </w:r>
          </w:p>
        </w:tc>
        <w:tc>
          <w:tcPr>
            <w:tcW w:w="1530" w:type="dxa"/>
            <w:shd w:val="clear" w:color="auto" w:fill="auto"/>
          </w:tcPr>
          <w:p w:rsidR="00482D4B" w:rsidRPr="00F615E6" w:rsidRDefault="00C30FB4" w:rsidP="00482D4B">
            <w:pPr>
              <w:rPr>
                <w:i/>
                <w:sz w:val="18"/>
                <w:szCs w:val="18"/>
              </w:rPr>
            </w:pPr>
            <w:r w:rsidRPr="00F615E6">
              <w:rPr>
                <w:i/>
                <w:sz w:val="18"/>
                <w:szCs w:val="18"/>
              </w:rPr>
              <w:t>No</w:t>
            </w:r>
          </w:p>
        </w:tc>
      </w:tr>
      <w:tr w:rsidR="00C30FB4" w:rsidRPr="00F615E6" w:rsidTr="00F615E6">
        <w:tc>
          <w:tcPr>
            <w:tcW w:w="2250" w:type="dxa"/>
            <w:shd w:val="clear" w:color="auto" w:fill="auto"/>
          </w:tcPr>
          <w:p w:rsidR="00482D4B" w:rsidRPr="00F615E6" w:rsidRDefault="00482D4B" w:rsidP="00482D4B"/>
        </w:tc>
        <w:tc>
          <w:tcPr>
            <w:tcW w:w="144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53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35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260" w:type="dxa"/>
            <w:shd w:val="clear" w:color="auto" w:fill="auto"/>
          </w:tcPr>
          <w:p w:rsidR="00482D4B" w:rsidRPr="00F615E6" w:rsidRDefault="00482D4B" w:rsidP="00482D4B"/>
        </w:tc>
        <w:tc>
          <w:tcPr>
            <w:tcW w:w="1800" w:type="dxa"/>
            <w:shd w:val="clear" w:color="auto" w:fill="auto"/>
          </w:tcPr>
          <w:p w:rsidR="00482D4B" w:rsidRPr="00F615E6" w:rsidRDefault="00482D4B" w:rsidP="00482D4B"/>
        </w:tc>
        <w:tc>
          <w:tcPr>
            <w:tcW w:w="1530" w:type="dxa"/>
            <w:shd w:val="clear" w:color="auto" w:fill="auto"/>
          </w:tcPr>
          <w:p w:rsidR="00482D4B" w:rsidRPr="00F615E6" w:rsidRDefault="00482D4B" w:rsidP="00482D4B"/>
        </w:tc>
      </w:tr>
      <w:tr w:rsidR="00C30FB4" w:rsidRPr="00F615E6" w:rsidTr="00F615E6">
        <w:tc>
          <w:tcPr>
            <w:tcW w:w="2250" w:type="dxa"/>
            <w:shd w:val="clear" w:color="auto" w:fill="auto"/>
          </w:tcPr>
          <w:p w:rsidR="00482D4B" w:rsidRPr="00F615E6" w:rsidRDefault="00482D4B" w:rsidP="00482D4B"/>
        </w:tc>
        <w:tc>
          <w:tcPr>
            <w:tcW w:w="144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53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35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260" w:type="dxa"/>
            <w:shd w:val="clear" w:color="auto" w:fill="auto"/>
          </w:tcPr>
          <w:p w:rsidR="00482D4B" w:rsidRPr="00F615E6" w:rsidRDefault="00482D4B" w:rsidP="00482D4B"/>
        </w:tc>
        <w:tc>
          <w:tcPr>
            <w:tcW w:w="1800" w:type="dxa"/>
            <w:shd w:val="clear" w:color="auto" w:fill="auto"/>
          </w:tcPr>
          <w:p w:rsidR="00482D4B" w:rsidRPr="00F615E6" w:rsidRDefault="00482D4B" w:rsidP="00482D4B"/>
        </w:tc>
        <w:tc>
          <w:tcPr>
            <w:tcW w:w="1530" w:type="dxa"/>
            <w:shd w:val="clear" w:color="auto" w:fill="auto"/>
          </w:tcPr>
          <w:p w:rsidR="00482D4B" w:rsidRPr="00F615E6" w:rsidRDefault="00482D4B" w:rsidP="00482D4B"/>
        </w:tc>
      </w:tr>
      <w:tr w:rsidR="00C30FB4" w:rsidRPr="00F615E6" w:rsidTr="00F615E6">
        <w:tc>
          <w:tcPr>
            <w:tcW w:w="2250" w:type="dxa"/>
            <w:shd w:val="clear" w:color="auto" w:fill="auto"/>
          </w:tcPr>
          <w:p w:rsidR="00482D4B" w:rsidRPr="00F615E6" w:rsidRDefault="00482D4B" w:rsidP="00482D4B"/>
        </w:tc>
        <w:tc>
          <w:tcPr>
            <w:tcW w:w="144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53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35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260" w:type="dxa"/>
            <w:shd w:val="clear" w:color="auto" w:fill="auto"/>
          </w:tcPr>
          <w:p w:rsidR="00482D4B" w:rsidRPr="00F615E6" w:rsidRDefault="00482D4B" w:rsidP="00482D4B"/>
        </w:tc>
        <w:tc>
          <w:tcPr>
            <w:tcW w:w="1800" w:type="dxa"/>
            <w:shd w:val="clear" w:color="auto" w:fill="auto"/>
          </w:tcPr>
          <w:p w:rsidR="00482D4B" w:rsidRPr="00F615E6" w:rsidRDefault="00482D4B" w:rsidP="00482D4B"/>
        </w:tc>
        <w:tc>
          <w:tcPr>
            <w:tcW w:w="1530" w:type="dxa"/>
            <w:shd w:val="clear" w:color="auto" w:fill="auto"/>
          </w:tcPr>
          <w:p w:rsidR="00482D4B" w:rsidRPr="00F615E6" w:rsidRDefault="00482D4B" w:rsidP="00482D4B"/>
        </w:tc>
      </w:tr>
      <w:tr w:rsidR="00C30FB4" w:rsidRPr="00F615E6" w:rsidTr="00F615E6">
        <w:tc>
          <w:tcPr>
            <w:tcW w:w="2250" w:type="dxa"/>
            <w:shd w:val="clear" w:color="auto" w:fill="auto"/>
          </w:tcPr>
          <w:p w:rsidR="00482D4B" w:rsidRPr="00F615E6" w:rsidRDefault="00482D4B" w:rsidP="00482D4B"/>
        </w:tc>
        <w:tc>
          <w:tcPr>
            <w:tcW w:w="144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53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35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260" w:type="dxa"/>
            <w:shd w:val="clear" w:color="auto" w:fill="auto"/>
          </w:tcPr>
          <w:p w:rsidR="00482D4B" w:rsidRPr="00F615E6" w:rsidRDefault="00482D4B" w:rsidP="00482D4B"/>
        </w:tc>
        <w:tc>
          <w:tcPr>
            <w:tcW w:w="1800" w:type="dxa"/>
            <w:shd w:val="clear" w:color="auto" w:fill="auto"/>
          </w:tcPr>
          <w:p w:rsidR="00482D4B" w:rsidRPr="00F615E6" w:rsidRDefault="00482D4B" w:rsidP="00482D4B"/>
        </w:tc>
        <w:tc>
          <w:tcPr>
            <w:tcW w:w="1530" w:type="dxa"/>
            <w:shd w:val="clear" w:color="auto" w:fill="auto"/>
          </w:tcPr>
          <w:p w:rsidR="00482D4B" w:rsidRPr="00F615E6" w:rsidRDefault="00482D4B" w:rsidP="00482D4B"/>
        </w:tc>
      </w:tr>
      <w:tr w:rsidR="00C30FB4" w:rsidRPr="00F615E6" w:rsidTr="00F615E6">
        <w:tc>
          <w:tcPr>
            <w:tcW w:w="2250" w:type="dxa"/>
            <w:shd w:val="clear" w:color="auto" w:fill="auto"/>
          </w:tcPr>
          <w:p w:rsidR="00482D4B" w:rsidRPr="00F615E6" w:rsidRDefault="00482D4B" w:rsidP="00482D4B"/>
        </w:tc>
        <w:tc>
          <w:tcPr>
            <w:tcW w:w="144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53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350" w:type="dxa"/>
            <w:shd w:val="clear" w:color="auto" w:fill="auto"/>
          </w:tcPr>
          <w:p w:rsidR="00482D4B" w:rsidRPr="00F615E6" w:rsidRDefault="00482D4B" w:rsidP="00482D4B"/>
        </w:tc>
        <w:tc>
          <w:tcPr>
            <w:tcW w:w="1080" w:type="dxa"/>
            <w:shd w:val="clear" w:color="auto" w:fill="auto"/>
          </w:tcPr>
          <w:p w:rsidR="00482D4B" w:rsidRPr="00F615E6" w:rsidRDefault="00482D4B" w:rsidP="00482D4B"/>
        </w:tc>
        <w:tc>
          <w:tcPr>
            <w:tcW w:w="1260" w:type="dxa"/>
            <w:shd w:val="clear" w:color="auto" w:fill="auto"/>
          </w:tcPr>
          <w:p w:rsidR="00482D4B" w:rsidRPr="00F615E6" w:rsidRDefault="00482D4B" w:rsidP="00482D4B"/>
        </w:tc>
        <w:tc>
          <w:tcPr>
            <w:tcW w:w="1800" w:type="dxa"/>
            <w:shd w:val="clear" w:color="auto" w:fill="auto"/>
          </w:tcPr>
          <w:p w:rsidR="00482D4B" w:rsidRPr="00F615E6" w:rsidRDefault="00482D4B" w:rsidP="00482D4B"/>
        </w:tc>
        <w:tc>
          <w:tcPr>
            <w:tcW w:w="1530" w:type="dxa"/>
            <w:shd w:val="clear" w:color="auto" w:fill="auto"/>
          </w:tcPr>
          <w:p w:rsidR="00482D4B" w:rsidRPr="00F615E6" w:rsidRDefault="00482D4B" w:rsidP="00482D4B"/>
        </w:tc>
      </w:tr>
    </w:tbl>
    <w:p w:rsidR="00356B5D" w:rsidRDefault="00356B5D" w:rsidP="00C30FB4"/>
    <w:sectPr w:rsidR="00356B5D" w:rsidSect="007F13E5">
      <w:headerReference w:type="first" r:id="rId8"/>
      <w:footerReference w:type="first" r:id="rId9"/>
      <w:pgSz w:w="15840" w:h="12240" w:orient="landscape"/>
      <w:pgMar w:top="864" w:right="144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A0" w:rsidRDefault="00781AA0" w:rsidP="00E10FA7">
      <w:r>
        <w:separator/>
      </w:r>
    </w:p>
  </w:endnote>
  <w:endnote w:type="continuationSeparator" w:id="0">
    <w:p w:rsidR="00781AA0" w:rsidRDefault="00781AA0" w:rsidP="00E1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1D" w:rsidRDefault="0093191D">
    <w:pPr>
      <w:pStyle w:val="Footer"/>
    </w:pPr>
  </w:p>
  <w:p w:rsidR="00137616" w:rsidRDefault="00137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A0" w:rsidRDefault="00781AA0" w:rsidP="00E10FA7">
      <w:r>
        <w:separator/>
      </w:r>
    </w:p>
  </w:footnote>
  <w:footnote w:type="continuationSeparator" w:id="0">
    <w:p w:rsidR="00781AA0" w:rsidRDefault="00781AA0" w:rsidP="00E1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16" w:rsidRDefault="00284D44" w:rsidP="00F615E6">
    <w:pPr>
      <w:pStyle w:val="Header"/>
      <w:shd w:val="clear" w:color="auto" w:fill="C2D69B"/>
      <w:ind w:left="-540" w:right="-558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8488680</wp:posOffset>
          </wp:positionH>
          <wp:positionV relativeFrom="paragraph">
            <wp:posOffset>6350</wp:posOffset>
          </wp:positionV>
          <wp:extent cx="621665" cy="621665"/>
          <wp:effectExtent l="0" t="0" r="0" b="0"/>
          <wp:wrapTight wrapText="bothSides">
            <wp:wrapPolygon edited="0">
              <wp:start x="7943" y="0"/>
              <wp:lineTo x="0" y="1324"/>
              <wp:lineTo x="0" y="18533"/>
              <wp:lineTo x="8605" y="21181"/>
              <wp:lineTo x="13238" y="21181"/>
              <wp:lineTo x="21181" y="19857"/>
              <wp:lineTo x="21181" y="2648"/>
              <wp:lineTo x="15224" y="0"/>
              <wp:lineTo x="794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60960</wp:posOffset>
          </wp:positionV>
          <wp:extent cx="1530350" cy="554990"/>
          <wp:effectExtent l="0" t="0" r="0" b="0"/>
          <wp:wrapTight wrapText="bothSides">
            <wp:wrapPolygon edited="0">
              <wp:start x="0" y="0"/>
              <wp:lineTo x="0" y="20760"/>
              <wp:lineTo x="21241" y="20760"/>
              <wp:lineTo x="212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7616" w:rsidRDefault="00137616" w:rsidP="00F615E6">
    <w:pPr>
      <w:pStyle w:val="Header"/>
      <w:shd w:val="clear" w:color="auto" w:fill="C2D69B"/>
      <w:ind w:left="-540" w:right="-558"/>
      <w:jc w:val="center"/>
      <w:rPr>
        <w:sz w:val="32"/>
        <w:szCs w:val="32"/>
      </w:rPr>
    </w:pPr>
    <w:r>
      <w:rPr>
        <w:sz w:val="32"/>
        <w:szCs w:val="32"/>
      </w:rPr>
      <w:t>21</w:t>
    </w:r>
    <w:r w:rsidRPr="00E10FA7">
      <w:rPr>
        <w:sz w:val="32"/>
        <w:szCs w:val="32"/>
        <w:vertAlign w:val="superscript"/>
      </w:rPr>
      <w:t>st</w:t>
    </w:r>
    <w:r>
      <w:rPr>
        <w:sz w:val="32"/>
        <w:szCs w:val="32"/>
      </w:rPr>
      <w:t xml:space="preserve"> Century Community Learning Centers</w:t>
    </w:r>
    <w:r w:rsidR="009361E7">
      <w:rPr>
        <w:sz w:val="32"/>
        <w:szCs w:val="32"/>
      </w:rPr>
      <w:t xml:space="preserve"> </w:t>
    </w:r>
  </w:p>
  <w:p w:rsidR="00137616" w:rsidRDefault="00137616" w:rsidP="00F615E6">
    <w:pPr>
      <w:pStyle w:val="Header"/>
      <w:shd w:val="clear" w:color="auto" w:fill="C2D69B"/>
      <w:ind w:left="-540" w:right="-558"/>
      <w:jc w:val="center"/>
    </w:pPr>
  </w:p>
  <w:p w:rsidR="00137616" w:rsidRPr="00E10FA7" w:rsidRDefault="00137616" w:rsidP="00E10FA7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3CAF"/>
    <w:multiLevelType w:val="hybridMultilevel"/>
    <w:tmpl w:val="8910B3C6"/>
    <w:lvl w:ilvl="0" w:tplc="679A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EA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49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A0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23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EE9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80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DA1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66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F5280"/>
    <w:multiLevelType w:val="multilevel"/>
    <w:tmpl w:val="5EB01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70F53"/>
    <w:multiLevelType w:val="hybridMultilevel"/>
    <w:tmpl w:val="15A6B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EE545D3"/>
    <w:multiLevelType w:val="hybridMultilevel"/>
    <w:tmpl w:val="DA72CC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CB6569C"/>
    <w:multiLevelType w:val="hybridMultilevel"/>
    <w:tmpl w:val="C59EE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B3D08FD"/>
    <w:multiLevelType w:val="hybridMultilevel"/>
    <w:tmpl w:val="94ECA18A"/>
    <w:lvl w:ilvl="0" w:tplc="D2D6D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CF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64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E4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88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23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CCB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08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26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F236F"/>
    <w:multiLevelType w:val="hybridMultilevel"/>
    <w:tmpl w:val="0762A4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F5A9C"/>
    <w:multiLevelType w:val="hybridMultilevel"/>
    <w:tmpl w:val="BA1EAE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A7"/>
    <w:rsid w:val="00002D86"/>
    <w:rsid w:val="00005427"/>
    <w:rsid w:val="00014270"/>
    <w:rsid w:val="000142F5"/>
    <w:rsid w:val="00060638"/>
    <w:rsid w:val="00066FDE"/>
    <w:rsid w:val="00086F33"/>
    <w:rsid w:val="000A3360"/>
    <w:rsid w:val="000E3285"/>
    <w:rsid w:val="00100F88"/>
    <w:rsid w:val="00134CD1"/>
    <w:rsid w:val="00137616"/>
    <w:rsid w:val="001B36C0"/>
    <w:rsid w:val="001C73D9"/>
    <w:rsid w:val="0022453F"/>
    <w:rsid w:val="00240FCA"/>
    <w:rsid w:val="00245333"/>
    <w:rsid w:val="00284D44"/>
    <w:rsid w:val="003028D9"/>
    <w:rsid w:val="00356B5D"/>
    <w:rsid w:val="003939DB"/>
    <w:rsid w:val="003D054E"/>
    <w:rsid w:val="00430C28"/>
    <w:rsid w:val="00434B3D"/>
    <w:rsid w:val="00482D4B"/>
    <w:rsid w:val="004C3A08"/>
    <w:rsid w:val="00567CFB"/>
    <w:rsid w:val="005738D2"/>
    <w:rsid w:val="005815EF"/>
    <w:rsid w:val="00583BD1"/>
    <w:rsid w:val="005E1487"/>
    <w:rsid w:val="005E5178"/>
    <w:rsid w:val="0060690F"/>
    <w:rsid w:val="00642A9C"/>
    <w:rsid w:val="006F2728"/>
    <w:rsid w:val="007309FB"/>
    <w:rsid w:val="007328FF"/>
    <w:rsid w:val="007466E2"/>
    <w:rsid w:val="007514EF"/>
    <w:rsid w:val="00781AA0"/>
    <w:rsid w:val="007F13E5"/>
    <w:rsid w:val="00806E6C"/>
    <w:rsid w:val="00870209"/>
    <w:rsid w:val="00880BBD"/>
    <w:rsid w:val="008A1702"/>
    <w:rsid w:val="0090494A"/>
    <w:rsid w:val="0093191D"/>
    <w:rsid w:val="009361E7"/>
    <w:rsid w:val="00A250CC"/>
    <w:rsid w:val="00A268DD"/>
    <w:rsid w:val="00A322B7"/>
    <w:rsid w:val="00AC0F7C"/>
    <w:rsid w:val="00AC2B8E"/>
    <w:rsid w:val="00AF4343"/>
    <w:rsid w:val="00AF5E1D"/>
    <w:rsid w:val="00B26DEE"/>
    <w:rsid w:val="00B86088"/>
    <w:rsid w:val="00BB7CBB"/>
    <w:rsid w:val="00BD15FA"/>
    <w:rsid w:val="00C30FB4"/>
    <w:rsid w:val="00C42714"/>
    <w:rsid w:val="00C50AB9"/>
    <w:rsid w:val="00C61DDF"/>
    <w:rsid w:val="00CF26DE"/>
    <w:rsid w:val="00D008AB"/>
    <w:rsid w:val="00D16696"/>
    <w:rsid w:val="00DB5D70"/>
    <w:rsid w:val="00E10FA7"/>
    <w:rsid w:val="00E33103"/>
    <w:rsid w:val="00E40B72"/>
    <w:rsid w:val="00E57023"/>
    <w:rsid w:val="00E8238A"/>
    <w:rsid w:val="00F11665"/>
    <w:rsid w:val="00F615E6"/>
    <w:rsid w:val="00F917D0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479D08A5-F974-49D7-8301-1FE3127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FA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0FA7"/>
  </w:style>
  <w:style w:type="paragraph" w:styleId="Footer">
    <w:name w:val="footer"/>
    <w:basedOn w:val="Normal"/>
    <w:link w:val="FooterChar"/>
    <w:uiPriority w:val="99"/>
    <w:unhideWhenUsed/>
    <w:rsid w:val="00E10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A7"/>
  </w:style>
  <w:style w:type="paragraph" w:styleId="BalloonText">
    <w:name w:val="Balloon Text"/>
    <w:basedOn w:val="Normal"/>
    <w:link w:val="BalloonTextChar"/>
    <w:uiPriority w:val="99"/>
    <w:semiHidden/>
    <w:unhideWhenUsed/>
    <w:rsid w:val="00E10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F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F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7616"/>
  </w:style>
  <w:style w:type="character" w:customStyle="1" w:styleId="criteria">
    <w:name w:val="criteria"/>
    <w:basedOn w:val="DefaultParagraphFont"/>
    <w:rsid w:val="00137616"/>
  </w:style>
  <w:style w:type="paragraph" w:styleId="NormalWeb">
    <w:name w:val="Normal (Web)"/>
    <w:basedOn w:val="Normal"/>
    <w:uiPriority w:val="99"/>
    <w:unhideWhenUsed/>
    <w:rsid w:val="00806E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42A9C"/>
    <w:rPr>
      <w:color w:val="0000FF"/>
      <w:u w:val="single"/>
    </w:rPr>
  </w:style>
  <w:style w:type="character" w:customStyle="1" w:styleId="tgc">
    <w:name w:val="_tgc"/>
    <w:basedOn w:val="DefaultParagraphFont"/>
    <w:rsid w:val="00BD15FA"/>
  </w:style>
  <w:style w:type="character" w:customStyle="1" w:styleId="st">
    <w:name w:val="st"/>
    <w:basedOn w:val="DefaultParagraphFont"/>
    <w:rsid w:val="00066FDE"/>
  </w:style>
  <w:style w:type="character" w:styleId="Emphasis">
    <w:name w:val="Emphasis"/>
    <w:uiPriority w:val="20"/>
    <w:qFormat/>
    <w:rsid w:val="00066FDE"/>
    <w:rPr>
      <w:i/>
      <w:iCs/>
    </w:rPr>
  </w:style>
  <w:style w:type="character" w:styleId="Strong">
    <w:name w:val="Strong"/>
    <w:uiPriority w:val="22"/>
    <w:qFormat/>
    <w:rsid w:val="00583BD1"/>
    <w:rPr>
      <w:b/>
      <w:bCs/>
    </w:rPr>
  </w:style>
  <w:style w:type="table" w:styleId="PlainTable4">
    <w:name w:val="Plain Table 4"/>
    <w:basedOn w:val="TableNormal"/>
    <w:uiPriority w:val="44"/>
    <w:rsid w:val="00100F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4ECE15B-F25D-4CC5-8283-9219F6D7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Children's Forum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berry</dc:creator>
  <cp:keywords/>
  <cp:lastModifiedBy>Chandler, Tiffany</cp:lastModifiedBy>
  <cp:revision>2</cp:revision>
  <cp:lastPrinted>2017-04-27T20:11:00Z</cp:lastPrinted>
  <dcterms:created xsi:type="dcterms:W3CDTF">2019-06-10T16:49:00Z</dcterms:created>
  <dcterms:modified xsi:type="dcterms:W3CDTF">2019-06-10T16:49:00Z</dcterms:modified>
</cp:coreProperties>
</file>